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A5635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ru-RU"/>
        </w:rPr>
        <w:t xml:space="preserve">ИЗВЕШТАЈ О СТУДИЈСКОЈ ПОСЕТИ ГИМНАЗИЈИ  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4"/>
          <w:szCs w:val="24"/>
          <w:lang w:val="sr-Cyrl-RS"/>
        </w:rPr>
        <w:t xml:space="preserve">ГУСТАВ </w:t>
      </w:r>
      <w:r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ru-RU"/>
        </w:rPr>
        <w:t>КУРБЕ У БЕЛФОРУ, ФРАНЦУСКА</w:t>
      </w:r>
    </w:p>
    <w:p w14:paraId="58FA4A5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У периоду од 1.5.2026. до 10.5.2026. године професорке француске билингвалне секције Драгана Павловић и Мирјана Мунишић добиле су прилику за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студију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праксе (</w:t>
      </w:r>
      <w:r>
        <w:rPr>
          <w:rFonts w:ascii="Times New Roman" w:hAnsi="Times New Roman" w:eastAsia="Times New Roman" w:cs="Times New Roman"/>
          <w:sz w:val="24"/>
          <w:szCs w:val="24"/>
          <w:lang w:val="sr-Latn-ME"/>
        </w:rPr>
        <w:t>job shadowing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у оквиру Еразмус плус пројекта наше школе. Реализована је студијска посета партнерској гимназији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“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Густав Курбе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 Белфору</w:t>
      </w:r>
      <w:r>
        <w:rPr>
          <w:rFonts w:hint="default" w:ascii="Times New Roman" w:hAnsi="Times New Roman" w:eastAsia="Times New Roman" w:cs="Times New Roman"/>
          <w:sz w:val="24"/>
          <w:szCs w:val="24"/>
          <w:lang w:val="fr-C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(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“</w:t>
      </w:r>
      <w:r>
        <w:rPr>
          <w:rFonts w:ascii="Times New Roman" w:hAnsi="Times New Roman" w:eastAsia="Times New Roman" w:cs="Times New Roman"/>
          <w:sz w:val="24"/>
          <w:szCs w:val="24"/>
        </w:rPr>
        <w:t>Gustave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Courbet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>Belfort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fr-CA"/>
        </w:rPr>
        <w:t>Academie de Besançon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RS"/>
        </w:rPr>
        <w:t>France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)</w:t>
      </w:r>
      <w:r>
        <w:rPr>
          <w:rFonts w:hint="default" w:ascii="Times New Roman" w:hAnsi="Times New Roman" w:eastAsia="Times New Roman" w:cs="Times New Roman"/>
          <w:sz w:val="24"/>
          <w:szCs w:val="24"/>
          <w:lang w:val="fr-CA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са циљем упознавања образовног система Француске, размене примера добре праксе и унапређења компетенција наставника и ученика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fr-C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али и личног упознавања са управом,  колегама и другим запосленима, као и ученицима школе, и разговору о успостављању пројеката  размене за наше ученике билингвалног француског одељења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 </w:t>
      </w:r>
    </w:p>
    <w:p w14:paraId="2AF1A2CD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815340</wp:posOffset>
                </wp:positionV>
                <wp:extent cx="76200" cy="76200"/>
                <wp:effectExtent l="12700" t="12700" r="25400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34050" y="385699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91.5pt;margin-top:64.2pt;height:6pt;width:6pt;z-index:251663360;v-text-anchor:middle;mso-width-relative:page;mso-height-relative:page;" fillcolor="#C00000" filled="t" stroked="t" coordsize="21600,21600" o:gfxdata="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x&#10;z6uw2gAAAAsBAAAPAAAAAAAAAAEAIAAAACIAAABkcnMvZG93bnJldi54bWxQSwECFAAUAAAACACH&#10;TuJA37abE1sCAADpBAAADgAAAAAAAAABACAAAAApAQAAZHJzL2Uyb0RvYy54bWxQSwUGAAAAAAYA&#10;BgBZAQAA9gUAAAAA&#10;">
                <v:fill on="t" focussize="0,0"/>
                <v:stroke weight="2pt" color="#C00000 [24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3053715" cy="2290445"/>
            <wp:effectExtent l="0" t="0" r="13335" b="14605"/>
            <wp:docPr id="20" name="Picture 20" descr="178058881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17805888125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371090" cy="2286000"/>
            <wp:effectExtent l="0" t="0" r="10160" b="0"/>
            <wp:docPr id="8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684CA2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0"/>
          <w:szCs w:val="20"/>
          <w:lang w:val="sr-Cyrl-RS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lang w:val="sr-Cyrl-RS"/>
        </w:rPr>
        <w:t>Поглед на Белфор, стари део града, са тврђаве и положај на карти Француске (Франш- Конте)</w:t>
      </w:r>
    </w:p>
    <w:p w14:paraId="1D0A457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У доласку, пошто је аеродром у Базелу тренутно био ван функције те смо летеле на Женеву, посетиле смо 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научно-културни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центар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Научна Капија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ЦЕРН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-а у Женеви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>Science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Gateway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CERN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)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док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смо боравак у Белфору искористиле за сагледавање што ширих могућности које нуди регион за будућу организацију доласка са ученицима.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</w:p>
    <w:p w14:paraId="1C57FCF7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515110" cy="2012950"/>
            <wp:effectExtent l="0" t="0" r="8890" b="6350"/>
            <wp:docPr id="29" name="Picture 29" descr="1780592266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17805922660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497965" cy="1990090"/>
            <wp:effectExtent l="0" t="0" r="6985" b="10160"/>
            <wp:docPr id="14" name="Picture 14" descr="2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2133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502410" cy="1996440"/>
            <wp:effectExtent l="0" t="0" r="2540" b="3810"/>
            <wp:docPr id="15" name="Picture 15" descr="2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212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821B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Посета ЦЕРН-у и дела настала током боравка уметника у ЦЕРН-у</w:t>
      </w:r>
    </w:p>
    <w:p w14:paraId="675A8B6C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</w:p>
    <w:p w14:paraId="02859F2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Посета савременом образовном и изложбеном делу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Церн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а, Научна капија Церна (ЦЕРН </w:t>
      </w:r>
      <w:r>
        <w:rPr>
          <w:rFonts w:ascii="Times New Roman" w:hAnsi="Times New Roman" w:eastAsia="Times New Roman" w:cs="Times New Roman"/>
          <w:sz w:val="24"/>
          <w:szCs w:val="24"/>
        </w:rPr>
        <w:t>Science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Gateway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) представљала је изузетну прилику за упознавање са савременим научним истраживањима у области физике честица и популаризације науке. Током обиласка упознали смо се са радом највеће светске лабораторије за истраживање фундаменталне структуре материје, као и са међународном сарадњом научника из великог броја земаља. Посебно је истакнута важност науке, иновација и интердисциплинарног приступа у решавању савремених изазова. За  наставнике природних наука ова посета представља снажан подстицај за развијање интересовања за </w:t>
      </w:r>
      <w:r>
        <w:rPr>
          <w:rFonts w:ascii="Times New Roman" w:hAnsi="Times New Roman" w:eastAsia="Times New Roman" w:cs="Times New Roman"/>
          <w:sz w:val="24"/>
          <w:szCs w:val="24"/>
        </w:rPr>
        <w:t>STEM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области.</w:t>
      </w:r>
    </w:p>
    <w:p w14:paraId="0D402134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Остатак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боравка смо провеле у Белфору, мест у покрајини Франш Конте, у коме се налази гимназија Густав Курбе.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Током боравка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смо имали организован програм од стране наших колега, те смо имале прилику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да присуствујемо настави, разговарамо са наставницима и ученицима, као и да се упознамо са организацијом рада школе.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(присуствовале смо практичним вежбама из физике, часовима страног језика и на страном језику (економија), историје, посетиле студио за снимање школског подкаста, школски документациони центар (медијатеку), присуствовале изборном предмету Филм, као и пробама у оквиру изборног предмета Позориште). </w:t>
      </w:r>
    </w:p>
    <w:p w14:paraId="1D47FBD7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4022725" cy="2174240"/>
            <wp:effectExtent l="0" t="0" r="15875" b="16510"/>
            <wp:docPr id="2" name="Picture 2" descr="2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1702"/>
                    <pic:cNvPicPr>
                      <a:picLocks noChangeAspect="1"/>
                    </pic:cNvPicPr>
                  </pic:nvPicPr>
                  <pic:blipFill>
                    <a:blip r:embed="rId11"/>
                    <a:srcRect r="1634" b="29397"/>
                    <a:stretch>
                      <a:fillRect/>
                    </a:stretch>
                  </pic:blipFill>
                  <pic:spPr>
                    <a:xfrm>
                      <a:off x="0" y="0"/>
                      <a:ext cx="402272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824990" cy="1374140"/>
            <wp:effectExtent l="0" t="0" r="3810" b="16510"/>
            <wp:docPr id="24" name="Picture 24" descr="2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2197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BAD96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Гимназија Курбе у Белфору (спољашњи изглед и зборница, део за пријем родитеља)</w:t>
      </w:r>
    </w:p>
    <w:p w14:paraId="3F73826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Посебну пажњу привукао је начин на који се подстиче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активно учешће ученика у наставном процесу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 Настава је усмерена на развој критичког мишљења, тимског рада, истраживачког приступа и самосталности ученика. Уочена је значајна повезаност наставних садржаја са свакодневним животом и реалним проблемима, што доприноси већој мотивацији ученика за учење</w:t>
      </w:r>
    </w:p>
    <w:p w14:paraId="348DF073">
      <w:pPr>
        <w:spacing w:beforeAutospacing="0" w:after="0" w:afterAutospacing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59055</wp:posOffset>
            </wp:positionV>
            <wp:extent cx="1328420" cy="1771650"/>
            <wp:effectExtent l="0" t="0" r="5080" b="0"/>
            <wp:wrapSquare wrapText="bothSides"/>
            <wp:docPr id="9" name="Picture 9" descr="2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217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65405</wp:posOffset>
            </wp:positionV>
            <wp:extent cx="2212975" cy="1776730"/>
            <wp:effectExtent l="0" t="0" r="15875" b="13970"/>
            <wp:wrapSquare wrapText="bothSides"/>
            <wp:docPr id="10" name="Picture 10" descr="2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217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60960</wp:posOffset>
            </wp:positionV>
            <wp:extent cx="2365375" cy="1781810"/>
            <wp:effectExtent l="0" t="0" r="53975" b="46990"/>
            <wp:wrapTight wrapText="bothSides">
              <wp:wrapPolygon>
                <wp:start x="0" y="0"/>
                <wp:lineTo x="0" y="21477"/>
                <wp:lineTo x="21397" y="21477"/>
                <wp:lineTo x="21397" y="0"/>
                <wp:lineTo x="0" y="0"/>
              </wp:wrapPolygon>
            </wp:wrapTight>
            <wp:docPr id="11" name="Picture 11" descr="2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217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2"/>
          <w:szCs w:val="22"/>
          <w:lang w:val="sr-Cyrl-RS"/>
        </w:rPr>
        <w:t>Ученици на часу практичних вежби из физике. Материјал припремају стално запослени лаборанти који помажу наставницима</w:t>
      </w:r>
    </w:p>
    <w:p w14:paraId="2B713BE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Такође смо се упознали са специфичностима француског образовног система, начинима вредновања постигнућа ученика и организацијом школских активности које доприносе развоју грађанских, језичких и дигиталних компетенција.</w:t>
      </w:r>
    </w:p>
    <w:p w14:paraId="054C9579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2871470" cy="2162810"/>
            <wp:effectExtent l="0" t="0" r="5080" b="8890"/>
            <wp:docPr id="12" name="Picture 12" descr="2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2196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2884170" cy="2171700"/>
            <wp:effectExtent l="0" t="0" r="11430" b="0"/>
            <wp:docPr id="13" name="Picture 13" descr="21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2196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9ABD5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Посета документационом центру (библиотека/медијатека), простору који је осим за самостална истраживања ученика осмишљен и као простор радионица са спољним сарадницима, и “Улица” простор који уређују ученици (простор дружења и “задружних ужина” - кафетерија коју воде ученици).</w:t>
      </w:r>
    </w:p>
    <w:p w14:paraId="1A0865EA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ошто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је п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осебан акценат био је на концепту учења ван школе, </w:t>
      </w:r>
      <w:r>
        <w:rPr>
          <w:rFonts w:ascii="Times New Roman" w:hAnsi="Times New Roman" w:eastAsia="Times New Roman" w:cs="Times New Roman"/>
          <w:sz w:val="24"/>
          <w:szCs w:val="24"/>
        </w:rPr>
        <w:t>CLIL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методологији (</w:t>
      </w:r>
      <w:r>
        <w:rPr>
          <w:rFonts w:ascii="Times New Roman" w:hAnsi="Times New Roman" w:eastAsia="Times New Roman" w:cs="Times New Roman"/>
          <w:sz w:val="24"/>
          <w:szCs w:val="24"/>
        </w:rPr>
        <w:t>Content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Language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Integrated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Learning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) и развоју европских компетенција кроз међународну сарадњу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, п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оред активности у школи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према распореду, имале смо прилике да посетимо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значајн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европск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институци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је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Европск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парламент у Стразбуру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са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колегама и ученицима ЕУРО одељења школе (у ЕУРО одељењима ученици део предмета уче на различитим европским језицима, те у школи постоји билингвална настава на енглеском и шпанском језику, док друге гимназије у региону имају програме на другим језицима Европске уније). </w:t>
      </w:r>
    </w:p>
    <w:p w14:paraId="015F8325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</w:p>
    <w:p w14:paraId="1D6882E7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684655" cy="2238375"/>
            <wp:effectExtent l="0" t="0" r="10795" b="9525"/>
            <wp:docPr id="5" name="Picture 5" descr="2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2215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2947670" cy="2219960"/>
            <wp:effectExtent l="0" t="0" r="5080" b="8890"/>
            <wp:docPr id="6" name="Picture 6" descr="1780473949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17804739495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5A19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ЕУРО програм: час Економских и друштвених наука на енглеском</w:t>
      </w:r>
    </w:p>
    <w:p w14:paraId="1487CC0B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Током посете посебан значај дат је концепту учења ван учионице. Посете научним, културним и политичким институцијама представљале су важан део образовног програма. Овакав приступ омогућава ученицима да теоријска знања повежу са стварним окружењем и развију дубље разумевање наставних садржаја кроз непосредно искуство.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</w:t>
      </w:r>
    </w:p>
    <w:p w14:paraId="6ED8D99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Обилазак Европског парламента у Стразбуру омогућио је боље разумевање функционисања европских институција и процеса доношења одлука на нивоу Европске уније. Кроз презентације и дискусије упознали смо се са улогом Европског парламента у промоцији демократије, људских права, образовања и међународне сарадње. Ова посета допринела је развоју грађанских компетенција и јачању европског идентитета учесника.</w:t>
      </w:r>
    </w:p>
    <w:p w14:paraId="129B833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3990975</wp:posOffset>
            </wp:positionH>
            <wp:positionV relativeFrom="page">
              <wp:posOffset>5648960</wp:posOffset>
            </wp:positionV>
            <wp:extent cx="1221105" cy="2635885"/>
            <wp:effectExtent l="0" t="0" r="17145" b="12065"/>
            <wp:wrapSquare wrapText="bothSides"/>
            <wp:docPr id="1" name="Picture 1" descr="C:\Users\user\Downloads\parla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ownloads\parlamen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3910965" cy="2572385"/>
            <wp:effectExtent l="0" t="0" r="13335" b="18415"/>
            <wp:docPr id="4" name="Picture 4" descr="2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21775"/>
                    <pic:cNvPicPr>
                      <a:picLocks noChangeAspect="1"/>
                    </pic:cNvPicPr>
                  </pic:nvPicPr>
                  <pic:blipFill>
                    <a:blip r:embed="rId21"/>
                    <a:srcRect l="3386" t="15134" r="4375" b="4340"/>
                    <a:stretch>
                      <a:fillRect/>
                    </a:stretch>
                  </pic:blipFill>
                  <pic:spPr>
                    <a:xfrm>
                      <a:off x="0" y="0"/>
                      <a:ext cx="39109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F7C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Са колегама у Стразбуру и посета Европском парламенту </w:t>
      </w:r>
    </w:p>
    <w:p w14:paraId="030844F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Latn-RS"/>
        </w:rPr>
        <w:drawing>
          <wp:inline distT="0" distB="0" distL="114300" distR="114300">
            <wp:extent cx="5542280" cy="2435225"/>
            <wp:effectExtent l="0" t="0" r="1270" b="3175"/>
            <wp:docPr id="16" name="Picture 16" descr="2011-09-06_14-18-32-citadelle-belf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2011-09-06_14-18-32-citadelle-belfort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6F86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Latn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Тврђава у Белфору са Бертолдијевим лавом уклесаним у стену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RS"/>
        </w:rPr>
        <w:t xml:space="preserve"> (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Thomas Bresson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RS"/>
        </w:rPr>
        <w:t>)</w:t>
      </w:r>
    </w:p>
    <w:p w14:paraId="64F97796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1096010</wp:posOffset>
            </wp:positionV>
            <wp:extent cx="819785" cy="1821815"/>
            <wp:effectExtent l="0" t="0" r="18415" b="6985"/>
            <wp:wrapSquare wrapText="bothSides"/>
            <wp:docPr id="27" name="Picture 27" descr="У Монбелијару ле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У Монбелијару лепе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том смислу, а имајући у виду даљу сарадњу са гимназијм у Белфору, учеснице су истраживале могућности у окружењу погодне за формулисање циљева и задатака даље сарадње, које би укључивале и размену ученика. Тврђава у Белфору је тако дала повода за бројна поређења са Калемегданом, док нас је Регионални центар савремене уметности у Монбелијару, изненадио изузетно квалитетним изложбеним садржајем у тако малом месту, пример децентрализације изложбених политика државе. </w:t>
      </w:r>
    </w:p>
    <w:p w14:paraId="6B87140B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48895</wp:posOffset>
            </wp:positionV>
            <wp:extent cx="1366520" cy="1638935"/>
            <wp:effectExtent l="0" t="0" r="5080" b="18415"/>
            <wp:wrapSquare wrapText="bothSides"/>
            <wp:docPr id="26" name="Picture 26" descr="2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21410"/>
                    <pic:cNvPicPr>
                      <a:picLocks noChangeAspect="1"/>
                    </pic:cNvPicPr>
                  </pic:nvPicPr>
                  <pic:blipFill>
                    <a:blip r:embed="rId24"/>
                    <a:srcRect r="472" b="10180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50800</wp:posOffset>
            </wp:positionV>
            <wp:extent cx="1248410" cy="1659890"/>
            <wp:effectExtent l="0" t="0" r="8890" b="16510"/>
            <wp:wrapSquare wrapText="bothSides"/>
            <wp:docPr id="25" name="Picture 25" descr="2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2139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34290</wp:posOffset>
            </wp:positionV>
            <wp:extent cx="2548255" cy="1666875"/>
            <wp:effectExtent l="0" t="0" r="4445" b="9525"/>
            <wp:wrapSquare wrapText="bothSides"/>
            <wp:docPr id="17" name="Picture 17" descr="2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2140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У Монбелијару, у истој улици, ренесансни замак и Центар за савремену уметност</w:t>
      </w:r>
    </w:p>
    <w:p w14:paraId="39831721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Посебно инспиративна у том смислу је била посета Роншану, сасвим малом месту у близини Белфора, у коме се налази знаменита Корбизијеова Капела, ремек дело светске архитектуре настало уз минимум средстава, захваљујући отвореним схватањима и поверењу локалних црквених власти. Привилегија је била видети ово дело у свом окружењу.</w:t>
      </w:r>
    </w:p>
    <w:p w14:paraId="6FB23475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104140</wp:posOffset>
            </wp:positionV>
            <wp:extent cx="2520950" cy="2336800"/>
            <wp:effectExtent l="0" t="0" r="12700" b="6350"/>
            <wp:wrapSquare wrapText="bothSides"/>
            <wp:docPr id="18" name="Picture 18" descr="2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21673"/>
                    <pic:cNvPicPr>
                      <a:picLocks noChangeAspect="1"/>
                    </pic:cNvPicPr>
                  </pic:nvPicPr>
                  <pic:blipFill>
                    <a:blip r:embed="rId27"/>
                    <a:srcRect l="3243" t="54" r="996" b="33188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87630</wp:posOffset>
            </wp:positionV>
            <wp:extent cx="1764030" cy="2345055"/>
            <wp:effectExtent l="0" t="0" r="7620" b="17145"/>
            <wp:wrapSquare wrapText="bothSides"/>
            <wp:docPr id="19" name="Picture 19" descr="2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215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229360" cy="2436495"/>
            <wp:effectExtent l="0" t="0" r="8890" b="1905"/>
            <wp:docPr id="28" name="Picture 28" descr="У Роншану ле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У Роншану лепе"/>
                    <pic:cNvPicPr>
                      <a:picLocks noChangeAspect="1"/>
                    </pic:cNvPicPr>
                  </pic:nvPicPr>
                  <pic:blipFill>
                    <a:blip r:embed="rId29"/>
                    <a:srcRect t="11304" r="514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Ремек дело светске архитектуре: Корбизјеова капела у Роншану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ab/>
      </w:r>
    </w:p>
    <w:p w14:paraId="2676623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Центар за примењену лингвистику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(</w:t>
      </w:r>
      <w:r>
        <w:rPr>
          <w:rFonts w:ascii="Times New Roman" w:hAnsi="Times New Roman" w:eastAsia="Times New Roman" w:cs="Times New Roman"/>
          <w:sz w:val="24"/>
          <w:szCs w:val="24"/>
        </w:rPr>
        <w:t>CLA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у Без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нсону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је потврдио велики избор курсева језика као и методологије који могу да понуде, а посета граду је била прилика да се открије његово богато наслеђе: од остатака римског храма, преко астрономског сата, до родне куће Виктора Игоа, на истом тргу где се налази и кућа у којој су живели и пионири филма, браћа Лимијер!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Посебно инспиративн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бил</w:t>
      </w:r>
      <w:r>
        <w:rPr>
          <w:rFonts w:ascii="Times New Roman" w:hAnsi="Times New Roman" w:eastAsia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је посета Кући Виктора Игоа и упознавање са животом и делом једног од најзначајнијих француских књижевника. Кроз упознавање са његовим стваралаштвом учесници су имали прилику да продубе разумевање француске културе, историје и књижевности. Овакве активности потврђују значај повезивања образовања са културним наслеђем и развојем интеркултуралних компетенција</w:t>
      </w:r>
    </w:p>
    <w:p w14:paraId="27CDA1FA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2085975</wp:posOffset>
            </wp:positionH>
            <wp:positionV relativeFrom="page">
              <wp:posOffset>6132830</wp:posOffset>
            </wp:positionV>
            <wp:extent cx="1558925" cy="2202180"/>
            <wp:effectExtent l="0" t="0" r="3175" b="7620"/>
            <wp:wrapSquare wrapText="bothSides"/>
            <wp:docPr id="3" name="Picture 2" descr="Hu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ugo.jp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drawing>
          <wp:inline distT="0" distB="0" distL="114300" distR="114300">
            <wp:extent cx="1942465" cy="2581910"/>
            <wp:effectExtent l="0" t="0" r="635" b="8890"/>
            <wp:docPr id="22" name="Picture 22" descr="178059013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178059013767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580BA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Центар за примењену лингвистику и кућа Виктора Игоа у Безансону</w:t>
      </w:r>
    </w:p>
    <w:p w14:paraId="4363B330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Студијска посета Француској представљала је драгоцено професионално и лично искуство. Упознавање са француским образовним системом, применом </w:t>
      </w:r>
      <w:r>
        <w:rPr>
          <w:rFonts w:ascii="Times New Roman" w:hAnsi="Times New Roman" w:eastAsia="Times New Roman" w:cs="Times New Roman"/>
          <w:sz w:val="24"/>
          <w:szCs w:val="24"/>
        </w:rPr>
        <w:t>CLIL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методологије и примерима учења ван школе пружило је нове идеје за унапређење наставне праксе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, показавши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колико је важно повезивати формално образовање са науком, културом и друштвеним институцијама. Стечена искуства допринеће развоју иновативнијег, отворенијег и међународно оријентисаног приступа настави, на корист ученика и школе у целини.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 xml:space="preserve"> Радујемо се најављеној узвратној посети наставника из Белфора (заинтересовани су и пре нашег доласка била два професора историје и географије, као и професор немачког), али и ученика, у наредној школској години.</w:t>
      </w:r>
    </w:p>
    <w:p w14:paraId="732F237A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RS"/>
        </w:rPr>
        <w:t>Извештај написале Драгана Павловић и Мирјана Мунишић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95"/>
    <w:rsid w:val="000E5867"/>
    <w:rsid w:val="0012062C"/>
    <w:rsid w:val="00150E2A"/>
    <w:rsid w:val="00177795"/>
    <w:rsid w:val="00212136"/>
    <w:rsid w:val="002E1AF8"/>
    <w:rsid w:val="005A4DD5"/>
    <w:rsid w:val="00856DA5"/>
    <w:rsid w:val="00E51769"/>
    <w:rsid w:val="00F2175E"/>
    <w:rsid w:val="00F9442D"/>
    <w:rsid w:val="03A9727E"/>
    <w:rsid w:val="1D354C5A"/>
    <w:rsid w:val="1FC93A32"/>
    <w:rsid w:val="327041F0"/>
    <w:rsid w:val="49C37E82"/>
    <w:rsid w:val="5F7D3B30"/>
    <w:rsid w:val="6C1D7BEB"/>
    <w:rsid w:val="6FF30370"/>
    <w:rsid w:val="77D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Heading 1 Char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9">
    <w:name w:val="Heading 2 Char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0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991</Words>
  <Characters>6173</Characters>
  <Lines>32</Lines>
  <Paragraphs>9</Paragraphs>
  <TotalTime>9</TotalTime>
  <ScaleCrop>false</ScaleCrop>
  <LinksUpToDate>false</LinksUpToDate>
  <CharactersWithSpaces>7170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2026-06-02T17:02:00Z</dcterms:created>
  <dc:creator>user</dc:creator>
  <cp:lastModifiedBy>Munišić Mirjana</cp:lastModifiedBy>
  <dcterms:modified xsi:type="dcterms:W3CDTF">2026-06-10T08:40:38Z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CBE78F97E4FA47FF9162EFE74E60517A_13</vt:lpwstr>
  </property>
  <property fmtid="{D5CDD505-2E9C-101B-9397-08002B2CF9AE}" pid="4" name="KSOTemplateDocerSaveRecord">
    <vt:lpwstr>eyJoZGlkIjoiMTZjNDc2ZGVkMWE4MGVhNWYzZTQxMjcyOGMzNThmZDQiLCJ1c2VySWQiOiI4MTI2NzgxODM4MTMyIn0=</vt:lpwstr>
  </property>
</Properties>
</file>