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2A5635">
      <w:pPr>
        <w:spacing w:before="100" w:beforeAutospacing="1" w:after="100" w:afterAutospacing="1" w:line="240" w:lineRule="auto"/>
        <w:outlineLvl w:val="0"/>
        <w:rPr>
          <w:rFonts w:ascii="Times New Roman" w:hAnsi="Times New Roman" w:eastAsia="Times New Roman" w:cs="Times New Roman"/>
          <w:b/>
          <w:bCs/>
          <w:kern w:val="36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bCs/>
          <w:kern w:val="36"/>
          <w:sz w:val="24"/>
          <w:szCs w:val="24"/>
          <w:lang w:val="ru-RU"/>
        </w:rPr>
        <w:t xml:space="preserve">ИЗВЕШТАЈ О СТУДИЈСКОЈ ПОСЕТИ ГИМНАЗИЈИ  </w:t>
      </w:r>
      <w:r>
        <w:rPr>
          <w:rFonts w:hint="default" w:ascii="Times New Roman" w:hAnsi="Times New Roman" w:eastAsia="Times New Roman" w:cs="Times New Roman"/>
          <w:b/>
          <w:bCs/>
          <w:kern w:val="36"/>
          <w:sz w:val="24"/>
          <w:szCs w:val="24"/>
          <w:lang w:val="sr-Cyrl-RS"/>
        </w:rPr>
        <w:t xml:space="preserve">ГУСТАВ </w:t>
      </w:r>
      <w:r>
        <w:rPr>
          <w:rFonts w:ascii="Times New Roman" w:hAnsi="Times New Roman" w:eastAsia="Times New Roman" w:cs="Times New Roman"/>
          <w:b/>
          <w:bCs/>
          <w:kern w:val="36"/>
          <w:sz w:val="24"/>
          <w:szCs w:val="24"/>
          <w:lang w:val="ru-RU"/>
        </w:rPr>
        <w:t>КУРБЕ У БЕЛФОРУ, ФРАНЦУСКА</w:t>
      </w:r>
    </w:p>
    <w:p w14:paraId="58FA4A5B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У периоду од 1.5.2026. до 10.5.2026. године професорке француске билингвалне секције Драгана Павловић и Мирјана Мунишић добиле су прилику за 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студију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праксе (</w:t>
      </w:r>
      <w:r>
        <w:rPr>
          <w:rFonts w:ascii="Times New Roman" w:hAnsi="Times New Roman" w:eastAsia="Times New Roman" w:cs="Times New Roman"/>
          <w:sz w:val="24"/>
          <w:szCs w:val="24"/>
          <w:lang w:val="sr-Latn-ME"/>
        </w:rPr>
        <w:t>job shadowing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lang w:val="sr-Latn-M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у оквиру Еразмус плус пројекта наше школе. Реализована је студијска посета партнерској гимназији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“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Густав Курбе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”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у Белфору</w:t>
      </w:r>
      <w:r>
        <w:rPr>
          <w:rFonts w:hint="default" w:ascii="Times New Roman" w:hAnsi="Times New Roman" w:eastAsia="Times New Roman" w:cs="Times New Roman"/>
          <w:sz w:val="24"/>
          <w:szCs w:val="24"/>
          <w:lang w:val="fr-CA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(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“</w:t>
      </w:r>
      <w:r>
        <w:rPr>
          <w:rFonts w:ascii="Times New Roman" w:hAnsi="Times New Roman" w:eastAsia="Times New Roman" w:cs="Times New Roman"/>
          <w:sz w:val="24"/>
          <w:szCs w:val="24"/>
        </w:rPr>
        <w:t>Gustave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Courbet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”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>Belfort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, </w:t>
      </w:r>
      <w:r>
        <w:rPr>
          <w:rFonts w:hint="default" w:ascii="Times New Roman" w:hAnsi="Times New Roman" w:eastAsia="Times New Roman" w:cs="Times New Roman"/>
          <w:sz w:val="24"/>
          <w:szCs w:val="24"/>
          <w:lang w:val="fr-CA"/>
        </w:rPr>
        <w:t>Academie de Besançon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,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Latn-RS"/>
        </w:rPr>
        <w:t>France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)</w:t>
      </w:r>
      <w:r>
        <w:rPr>
          <w:rFonts w:hint="default" w:ascii="Times New Roman" w:hAnsi="Times New Roman" w:eastAsia="Times New Roman" w:cs="Times New Roman"/>
          <w:sz w:val="24"/>
          <w:szCs w:val="24"/>
          <w:lang w:val="fr-CA"/>
        </w:rPr>
        <w:t>,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са циљем упознавања образовног система Француске, размене примера добре праксе и унапређења компетенција наставника и ученика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,</w:t>
      </w:r>
      <w:r>
        <w:rPr>
          <w:rFonts w:hint="default" w:ascii="Times New Roman" w:hAnsi="Times New Roman" w:eastAsia="Times New Roman" w:cs="Times New Roman"/>
          <w:sz w:val="24"/>
          <w:szCs w:val="24"/>
          <w:lang w:val="fr-CA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али и личног упознавања са управом,  колегама и другим запосленима, као и ученицима школе, и разговору о успостављању пројеката  размене за наше ученике билингвалног француског одељења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. </w:t>
      </w:r>
    </w:p>
    <w:p w14:paraId="2AF1A2CD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815340</wp:posOffset>
                </wp:positionV>
                <wp:extent cx="76200" cy="76200"/>
                <wp:effectExtent l="12700" t="12700" r="254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34050" y="385699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1.5pt;margin-top:64.2pt;height:6pt;width:6pt;z-index:251663360;v-text-anchor:middle;mso-width-relative:page;mso-height-relative:page;" fillcolor="#C00000" filled="t" stroked="t" coordsize="21600,21600" o:gfxdata="UEsDBAoAAAAAAIdO4kAAAAAAAAAAAAAAAAAEAAAAZHJzL1BLAwQUAAAACACHTuJA8c+rsNoAAAAL&#10;AQAADwAAAGRycy9kb3ducmV2LnhtbE2PzU7DMBCE70i8g7VI3KidkNKQxqnET08glZY+gBu7cWi8&#10;jmKnKW/PcoLjzoxmvylXF9exsxlC61FCMhPADNZet9hI2H+u73JgISrUqvNoJHybAKvq+qpUhfYT&#10;bs15FxtGJRgKJcHG2Bech9oap8LM9wbJO/rBqUjn0HA9qInKXcdTIR64Uy3SB6t682xNfdqNTsJm&#10;tO9PU5Zutq/i7QPnp+Rl/7WW8vYmEUtg0VziXxh+8QkdKmI6+BF1YJ2ERX5PWyIZaZ4Bo8TicU7K&#10;gZRMZMCrkv/fUP0AUEsDBBQAAAAIAIdO4kDftpsTWwIAAOkEAAAOAAAAZHJzL2Uyb0RvYy54bWyt&#10;VMtu2zAQvBfoPxC8N7IdOw8jcmDYSFEgaAwkRc80RVoE+CpJW06/vkNKebaHHOoDvSuuZmdnd3V1&#10;fTSaHESIytmajk9GlAjLXaPsrqY/Hm6+XFASE7MN086Kmj6KSK8Xnz9ddX4uJq51uhGBAMTGeedr&#10;2qbk51UVeSsMiyfOC4tL6YJhCW7YVU1gHdCNriaj0VnVudD44LiIEU/X/SUdEMNHAJ2Uiou143sj&#10;bOpRg9AsoaTYKh/porCVUvB0J2UUieiaotJUTiSBvc1ntbhi811gvlV8oMA+QuFdTYYpi6TPUGuW&#10;GNkH9ReUUTy46GQ64c5UfSFFEVQxHr3T5r5lXpRaIHX0z6LH/wfLvx82gaimppMxJZYZdPzuwDSB&#10;C206H+cIufebMHgRZi70KIPJ/yiBHGs6Oz+djmZQ9bGmpxezs8vLQVtxTIQj4PwMzaeE4743gVe9&#10;wPgQ01fhDMlGTYXWaGOunc3Z4TamPvopKj+OTqvmRmldnLDbrnQgYF7T1Sj/Mn0keBOmLelQ6Wxa&#10;qDBMr8TUgJXxUCDaHSVM77AWPIWS+83b8WNJMsk1i21PpiAMXLQFpSxpL2K2tq55RAOC6yczen6j&#10;8P4ti2nDAkYRmmFZ0x0OqR3Yu8GipHXh97+e53hMCG4p6TDaqOzXngVBif5mMTuX4+kUsKk409n5&#10;BE54fbN9fWP3ZuWgKsYD7IqZ45N+MmVw5id2epmz4opZjty9hoOzSv3K4avAxXJZwjD/nqVbe+95&#10;Bs9dtG65T06q0u0XdQbRsAGlo8O25hV77Zeoly/U4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x&#10;z6uw2gAAAAsBAAAPAAAAAAAAAAEAIAAAACIAAABkcnMvZG93bnJldi54bWxQSwECFAAUAAAACACH&#10;TuJA37abE1sCAADpBAAADgAAAAAAAAABACAAAAApAQAAZHJzL2Uyb0RvYy54bWxQSwUGAAAAAAYA&#10;BgBZAQAA9gUAAAAA&#10;">
                <v:fill on="t" focussize="0,0"/>
                <v:stroke weight="2pt" color="#C00000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3053715" cy="2290445"/>
            <wp:effectExtent l="0" t="0" r="13335" b="14605"/>
            <wp:docPr id="20" name="Picture 20" descr="178058881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17805888125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71090" cy="2286000"/>
            <wp:effectExtent l="0" t="0" r="10160" b="0"/>
            <wp:docPr id="8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684CA2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0"/>
          <w:szCs w:val="20"/>
          <w:lang w:val="sr-Cyrl-RS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val="sr-Cyrl-RS"/>
        </w:rPr>
        <w:t>Поглед на Белфор, стари део града, са тврђаве и положај на карти Француске (Франш- Конте)</w:t>
      </w:r>
    </w:p>
    <w:p w14:paraId="1D0A457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У доласку, пошто је аеродром у Базелу тренутно био ван функције те смо летеле на Женеву, посетиле смо и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научно-културни 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центар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Научна Капија 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ЦЕРН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-а у Женеви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</w:rPr>
        <w:t>Science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Gateway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CERN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)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док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смо боравак у Белфору искористиле за сагледавање што ширих могућности које нуди регион за будућу организацију доласка са ученицима.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</w:p>
    <w:p w14:paraId="1C57FCF7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   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1515110" cy="2012950"/>
            <wp:effectExtent l="0" t="0" r="8890" b="6350"/>
            <wp:docPr id="29" name="Picture 29" descr="178059226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17805922660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1497965" cy="1990090"/>
            <wp:effectExtent l="0" t="0" r="6985" b="10160"/>
            <wp:docPr id="14" name="Picture 14" descr="2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213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1502410" cy="1996440"/>
            <wp:effectExtent l="0" t="0" r="2540" b="3810"/>
            <wp:docPr id="15" name="Picture 15" descr="2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1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821B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Посета ЦЕРН-у и дела настала током боравка уметника у ЦЕРН-у</w:t>
      </w:r>
    </w:p>
    <w:p w14:paraId="675A8B6C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</w:p>
    <w:p w14:paraId="02859F2B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Посета савременом образовном и изложбеном делу 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Церн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а, Научна капија Церна (ЦЕРН </w:t>
      </w:r>
      <w:r>
        <w:rPr>
          <w:rFonts w:ascii="Times New Roman" w:hAnsi="Times New Roman" w:eastAsia="Times New Roman" w:cs="Times New Roman"/>
          <w:sz w:val="24"/>
          <w:szCs w:val="24"/>
        </w:rPr>
        <w:t>Science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Gateway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) представљала је изузетну прилику за упознавање са савременим научним истраживањима у области физике честица и популаризације науке. Током обиласка упознали смо се са радом највеће светске лабораторије за истраживање фундаменталне структуре материје, као и са међународном сарадњом научника из великог броја земаља. Посебно је истакнута важност науке, иновација и интердисциплинарног приступа у решавању савремених изазова. За  наставнике природних наука ова посета представља снажан подстицај за развијање интересовања за </w:t>
      </w:r>
      <w:r>
        <w:rPr>
          <w:rFonts w:ascii="Times New Roman" w:hAnsi="Times New Roman" w:eastAsia="Times New Roman" w:cs="Times New Roman"/>
          <w:sz w:val="24"/>
          <w:szCs w:val="24"/>
        </w:rPr>
        <w:t>STEM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области.</w:t>
      </w:r>
    </w:p>
    <w:p w14:paraId="0D402134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Остатак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боравка смо провеле у Белфору, мест у покрајини Франш Конте, у коме се налази гимназија Густав Курбе.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Током боравка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смо имали организован програм од стране наших колега, те смо имале прилику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да присуствујемо настави, разговарамо са наставницима и ученицима, као и да се упознамо са организацијом рада школе.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(присуствовале смо практичним вежбама из физике, часовима страног језика и на страном језику (економија), историје, посетиле студио за снимање школског подкаста, школски документациони центар (медијатеку), присуствовале изборном предмету Филм, као и пробама у оквиру изборног предмета Позориште). </w:t>
      </w:r>
    </w:p>
    <w:p w14:paraId="1D47FBD7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4022725" cy="2174240"/>
            <wp:effectExtent l="0" t="0" r="15875" b="16510"/>
            <wp:docPr id="2" name="Picture 2" descr="2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1702"/>
                    <pic:cNvPicPr>
                      <a:picLocks noChangeAspect="1"/>
                    </pic:cNvPicPr>
                  </pic:nvPicPr>
                  <pic:blipFill>
                    <a:blip r:embed="rId11"/>
                    <a:srcRect r="1634" b="29397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1824990" cy="1374140"/>
            <wp:effectExtent l="0" t="0" r="3810" b="16510"/>
            <wp:docPr id="24" name="Picture 24" descr="2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19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AD96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Гимназија Курбе у Белфору (спољашњи изглед и зборница, део за пријем родитеља)</w:t>
      </w:r>
    </w:p>
    <w:p w14:paraId="3F73826D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Посебну пажњу привукао је начин на који се подстиче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ru-RU"/>
        </w:rPr>
        <w:t>активно учешће ученика у наставном процесу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. Настава је усмерена на развој критичког мишљења, тимског рада, истраживачког приступа и самосталности ученика. Уочена је значајна повезаност наставних садржаја са свакодневним животом и реалним проблемима, што доприноси већој мотивацији ученика за учење</w:t>
      </w:r>
    </w:p>
    <w:p w14:paraId="348DF073">
      <w:pPr>
        <w:spacing w:beforeAutospacing="0" w:after="0" w:afterAutospacing="0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59055</wp:posOffset>
            </wp:positionV>
            <wp:extent cx="1328420" cy="1771650"/>
            <wp:effectExtent l="0" t="0" r="5080" b="0"/>
            <wp:wrapSquare wrapText="bothSides"/>
            <wp:docPr id="9" name="Picture 9" descr="2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17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65405</wp:posOffset>
            </wp:positionV>
            <wp:extent cx="2212975" cy="1776730"/>
            <wp:effectExtent l="0" t="0" r="15875" b="13970"/>
            <wp:wrapSquare wrapText="bothSides"/>
            <wp:docPr id="10" name="Picture 10" descr="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17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60960</wp:posOffset>
            </wp:positionV>
            <wp:extent cx="2365375" cy="1781810"/>
            <wp:effectExtent l="0" t="0" r="53975" b="46990"/>
            <wp:wrapTight wrapText="bothSides">
              <wp:wrapPolygon>
                <wp:start x="0" y="0"/>
                <wp:lineTo x="0" y="21477"/>
                <wp:lineTo x="21397" y="21477"/>
                <wp:lineTo x="21397" y="0"/>
                <wp:lineTo x="0" y="0"/>
              </wp:wrapPolygon>
            </wp:wrapTight>
            <wp:docPr id="11" name="Picture 11" descr="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17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2"/>
          <w:szCs w:val="22"/>
          <w:lang w:val="sr-Cyrl-RS"/>
        </w:rPr>
        <w:t>Ученици на часу практичних вежби из физике. Материјал припремају стално запослени лаборанти који помажу наставницима</w:t>
      </w:r>
    </w:p>
    <w:p w14:paraId="2B713BE9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Такође смо се упознали са специфичностима француског образовног система, начинима вредновања постигнућа ученика и организацијом школских активности које доприносе развоју грађанских, језичких и дигиталних компетенција.</w:t>
      </w:r>
    </w:p>
    <w:p w14:paraId="054C9579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2871470" cy="2162810"/>
            <wp:effectExtent l="0" t="0" r="5080" b="8890"/>
            <wp:docPr id="12" name="Picture 12" descr="2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219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2884170" cy="2171700"/>
            <wp:effectExtent l="0" t="0" r="11430" b="0"/>
            <wp:docPr id="13" name="Picture 13" descr="2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19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ABD5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Посета документационом центру (библиотека/медијатека), простору који је осим за самостална истраживања ученика осмишљен и као простор радионица са спољним сарадницима, и “Улица” простор који уређују ученици (простор дружења и “задружних ужина” - кафетерија коју воде ученици).</w:t>
      </w:r>
    </w:p>
    <w:p w14:paraId="1A0865EA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ошто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је п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осебан акценат био је на концепту учења ван школе, </w:t>
      </w:r>
      <w:r>
        <w:rPr>
          <w:rFonts w:ascii="Times New Roman" w:hAnsi="Times New Roman" w:eastAsia="Times New Roman" w:cs="Times New Roman"/>
          <w:sz w:val="24"/>
          <w:szCs w:val="24"/>
        </w:rPr>
        <w:t>CLIL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методологији (</w:t>
      </w:r>
      <w:r>
        <w:rPr>
          <w:rFonts w:ascii="Times New Roman" w:hAnsi="Times New Roman" w:eastAsia="Times New Roman" w:cs="Times New Roman"/>
          <w:sz w:val="24"/>
          <w:szCs w:val="24"/>
        </w:rPr>
        <w:t>Content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Language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Integrated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Learning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) и развоју европских компетенција кроз међународну сарадњу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, п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оред активности у школи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према распореду, имале смо прилике да посетимо 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значајн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е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европск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е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институци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је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Европск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парламент у Стразбуру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), 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са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колегама и ученицима ЕУРО одељења школе (у ЕУРО одељењима ученици део предмета уче на различитим европским језицима, те у школи постоји билингвална настава на енглеском и шпанском језику, док друге гимназије у региону имају програме на другим језицима Европске уније). </w:t>
      </w:r>
    </w:p>
    <w:p w14:paraId="015F8325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</w:p>
    <w:p w14:paraId="1D6882E7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1684655" cy="2238375"/>
            <wp:effectExtent l="0" t="0" r="10795" b="9525"/>
            <wp:docPr id="5" name="Picture 5" descr="2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21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2947670" cy="2219960"/>
            <wp:effectExtent l="0" t="0" r="5080" b="8890"/>
            <wp:docPr id="6" name="Picture 6" descr="178047394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17804739495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5A19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ЕУРО програм: час Економских и друштвених наука на енглеском</w:t>
      </w:r>
    </w:p>
    <w:p w14:paraId="1487CC0B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Током посете посебан значај дат је концепту учења ван учионице. Посете научним, културним и политичким институцијама представљале су важан део образовног програма. Овакав приступ омогућава ученицима да теоријска знања повежу са стварним окружењем и развију дубље разумевање наставних садржаја кроз непосредно искуство.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</w:t>
      </w:r>
    </w:p>
    <w:p w14:paraId="6ED8D999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Обилазак Европског парламента у Стразбуру омогућио је боље разумевање функционисања европских институција и процеса доношења одлука на нивоу Европске уније. Кроз презентације и дискусије упознали смо се са улогом Европског парламента у промоцији демократије, људских права, образовања и међународне сарадње. Ова посета допринела је развоју грађанских компетенција и јачању европског идентитета учесника.</w:t>
      </w:r>
    </w:p>
    <w:p w14:paraId="129B833A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3990975</wp:posOffset>
            </wp:positionH>
            <wp:positionV relativeFrom="page">
              <wp:posOffset>5648960</wp:posOffset>
            </wp:positionV>
            <wp:extent cx="1221105" cy="2635885"/>
            <wp:effectExtent l="0" t="0" r="17145" b="12065"/>
            <wp:wrapSquare wrapText="bothSides"/>
            <wp:docPr id="1" name="Picture 1" descr="C:\Users\user\Downloads\parl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ownloads\parlamen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3910965" cy="2572385"/>
            <wp:effectExtent l="0" t="0" r="13335" b="18415"/>
            <wp:docPr id="4" name="Picture 4" descr="2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1775"/>
                    <pic:cNvPicPr>
                      <a:picLocks noChangeAspect="1"/>
                    </pic:cNvPicPr>
                  </pic:nvPicPr>
                  <pic:blipFill>
                    <a:blip r:embed="rId21"/>
                    <a:srcRect l="3386" t="15134" r="4375" b="4340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F7C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Са колегама у Стразбуру и посета Европском парламенту </w:t>
      </w:r>
    </w:p>
    <w:p w14:paraId="030844FF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Latn-RS"/>
        </w:rPr>
        <w:drawing>
          <wp:inline distT="0" distB="0" distL="114300" distR="114300">
            <wp:extent cx="5542280" cy="2435225"/>
            <wp:effectExtent l="0" t="0" r="1270" b="3175"/>
            <wp:docPr id="16" name="Picture 16" descr="2011-09-06_14-18-32-citadelle-bel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011-09-06_14-18-32-citadelle-belfor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6F86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Latn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Тврђава у Белфору са Бертолдијевим лавом уклесаним у стену</w:t>
      </w:r>
      <w:r>
        <w:rPr>
          <w:rFonts w:hint="default" w:ascii="Times New Roman" w:hAnsi="Times New Roman" w:eastAsia="Times New Roman" w:cs="Times New Roman"/>
          <w:sz w:val="24"/>
          <w:szCs w:val="24"/>
          <w:lang w:val="sr-Latn-RS"/>
        </w:rPr>
        <w:t xml:space="preserve"> (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Thomas Bresson</w:t>
      </w:r>
      <w:r>
        <w:rPr>
          <w:rFonts w:hint="default" w:ascii="Times New Roman" w:hAnsi="Times New Roman" w:eastAsia="Times New Roman" w:cs="Times New Roman"/>
          <w:sz w:val="24"/>
          <w:szCs w:val="24"/>
          <w:lang w:val="sr-Latn-RS"/>
        </w:rPr>
        <w:t>)</w:t>
      </w:r>
    </w:p>
    <w:p w14:paraId="64F97796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1096010</wp:posOffset>
            </wp:positionV>
            <wp:extent cx="819785" cy="1821815"/>
            <wp:effectExtent l="0" t="0" r="18415" b="6985"/>
            <wp:wrapSquare wrapText="bothSides"/>
            <wp:docPr id="27" name="Picture 27" descr="У Монбелијару ле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У Монбелијару лепе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У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том смислу, а имајући у виду даљу сарадњу са гимназијм у Белфору, учеснице су истраживале могућности у окружењу погодне за формулисање циљева и задатака даље сарадње, које би укључивале и размену ученика. Тврђава у Белфору је тако дала повода за бројна поређења са Калемегданом, док нас је Регионални центар савремене уметности у Монбелијару, изненадио изузетно квалитетним изложбеним садржајем у тако малом месту, пример децентрализације изложбених политика државе. </w:t>
      </w:r>
    </w:p>
    <w:p w14:paraId="6B87140B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48895</wp:posOffset>
            </wp:positionV>
            <wp:extent cx="1366520" cy="1638935"/>
            <wp:effectExtent l="0" t="0" r="5080" b="18415"/>
            <wp:wrapSquare wrapText="bothSides"/>
            <wp:docPr id="26" name="Picture 26" descr="2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21410"/>
                    <pic:cNvPicPr>
                      <a:picLocks noChangeAspect="1"/>
                    </pic:cNvPicPr>
                  </pic:nvPicPr>
                  <pic:blipFill>
                    <a:blip r:embed="rId24"/>
                    <a:srcRect r="472" b="10180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50800</wp:posOffset>
            </wp:positionV>
            <wp:extent cx="1248410" cy="1659890"/>
            <wp:effectExtent l="0" t="0" r="8890" b="16510"/>
            <wp:wrapSquare wrapText="bothSides"/>
            <wp:docPr id="25" name="Picture 25" descr="2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213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34290</wp:posOffset>
            </wp:positionV>
            <wp:extent cx="2548255" cy="1666875"/>
            <wp:effectExtent l="0" t="0" r="4445" b="9525"/>
            <wp:wrapSquare wrapText="bothSides"/>
            <wp:docPr id="17" name="Picture 17" descr="2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14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У Монбелијару, у истој улици, ренесансни замак и Центар за савремену уметност</w:t>
      </w:r>
    </w:p>
    <w:p w14:paraId="39831721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Посебно инспиративна у том смислу је била посета Роншану, сасвим малом месту у близини Белфора, у коме се налази знаменита Корбизијеова Капела, ремек дело светске архитектуре настало уз минимум средстава, захваљујући отвореним схватањима и поверењу локалних црквених власти. Привилегија је била видети ово дело у свом окружењу.</w:t>
      </w:r>
    </w:p>
    <w:p w14:paraId="6FB23475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104140</wp:posOffset>
            </wp:positionV>
            <wp:extent cx="2520950" cy="2336800"/>
            <wp:effectExtent l="0" t="0" r="12700" b="6350"/>
            <wp:wrapSquare wrapText="bothSides"/>
            <wp:docPr id="18" name="Picture 18" descr="2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1673"/>
                    <pic:cNvPicPr>
                      <a:picLocks noChangeAspect="1"/>
                    </pic:cNvPicPr>
                  </pic:nvPicPr>
                  <pic:blipFill>
                    <a:blip r:embed="rId27"/>
                    <a:srcRect l="3243" t="54" r="996" b="3318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87630</wp:posOffset>
            </wp:positionV>
            <wp:extent cx="1764030" cy="2345055"/>
            <wp:effectExtent l="0" t="0" r="7620" b="17145"/>
            <wp:wrapSquare wrapText="bothSides"/>
            <wp:docPr id="19" name="Picture 19" descr="2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215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1229360" cy="2436495"/>
            <wp:effectExtent l="0" t="0" r="8890" b="1905"/>
            <wp:docPr id="28" name="Picture 28" descr="У Роншану ле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У Роншану лепе"/>
                    <pic:cNvPicPr>
                      <a:picLocks noChangeAspect="1"/>
                    </pic:cNvPicPr>
                  </pic:nvPicPr>
                  <pic:blipFill>
                    <a:blip r:embed="rId29"/>
                    <a:srcRect t="11304" r="514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Ремек дело светске архитектуре: Корбизјеова капела у Роншану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ab/>
      </w:r>
    </w:p>
    <w:p w14:paraId="2676623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Центар за примењену лингвистику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CLA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у Без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нсону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је потврдио велики избор курсева језика као и методологије који могу да понуде, а посета граду је била прилика да се открије његово богато наслеђе: од остатака римског храма, преко астрономског сата, до родне куће Виктора Игоа, на истом тргу где се налази и кућа у којој су живели и пионири филма, браћа Лимијер!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Посебно инспиративн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бил</w:t>
      </w:r>
      <w:r>
        <w:rPr>
          <w:rFonts w:ascii="Times New Roman" w:hAnsi="Times New Roman" w:eastAsia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је посета Кући Виктора Игоа и упознавање са животом и делом једног од најзначајнијих француских књижевника. Кроз упознавање са његовим стваралаштвом учесници су имали прилику да продубе разумевање француске културе, историје и књижевности. Овакве активности потврђују значај повезивања образовања са културним наслеђем и развојем интеркултуралних компетенција</w:t>
      </w:r>
    </w:p>
    <w:p w14:paraId="27CDA1FA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ascii="Times New Roman" w:hAnsi="Times New Roman" w:eastAsia="Times New Roman" w:cs="Times New Roman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2085975</wp:posOffset>
            </wp:positionH>
            <wp:positionV relativeFrom="page">
              <wp:posOffset>6132830</wp:posOffset>
            </wp:positionV>
            <wp:extent cx="1558925" cy="2202180"/>
            <wp:effectExtent l="0" t="0" r="3175" b="7620"/>
            <wp:wrapSquare wrapText="bothSides"/>
            <wp:docPr id="3" name="Picture 2" descr="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ugo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.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drawing>
          <wp:inline distT="0" distB="0" distL="114300" distR="114300">
            <wp:extent cx="1942465" cy="2581910"/>
            <wp:effectExtent l="0" t="0" r="635" b="8890"/>
            <wp:docPr id="22" name="Picture 22" descr="178059013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178059013767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80BA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Центар за примењену лингвистику и кућа Виктора Игоа у Безансону</w:t>
      </w:r>
    </w:p>
    <w:p w14:paraId="4363B330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Студијска посета Француској представљала је драгоцено професионално и лично искуство. Упознавање са француским образовним системом, применом </w:t>
      </w:r>
      <w:r>
        <w:rPr>
          <w:rFonts w:ascii="Times New Roman" w:hAnsi="Times New Roman" w:eastAsia="Times New Roman" w:cs="Times New Roman"/>
          <w:sz w:val="24"/>
          <w:szCs w:val="24"/>
        </w:rPr>
        <w:t>CLIL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методологије и примерима учења ван школе пружило је нове идеје за унапређење наставне праксе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, показавши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>колико је важно повезивати формално образовање са науком, културом и друштвеним институцијама. Стечена искуства допринеће развоју иновативнијег, отворенијег и међународно оријентисаног приступа настави, на корист ученика и школе у целини.</w:t>
      </w: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 xml:space="preserve"> Радујемо се најављеној узвратној посети наставника из Белфора (заинтересовани су и пре нашег доласка била два професора историје и географије, као и професор немачког), али и ученика, у наредној школској години.</w:t>
      </w:r>
    </w:p>
    <w:p w14:paraId="732F237A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sr-Cyrl-RS"/>
        </w:rPr>
        <w:t>Извештај написале Драгана Павловић и Мирјана Мунишић</w:t>
      </w:r>
      <w:bookmarkStart w:id="0" w:name="_GoBack"/>
      <w:bookmarkEnd w:id="0"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795"/>
    <w:rsid w:val="000E5867"/>
    <w:rsid w:val="0012062C"/>
    <w:rsid w:val="00150E2A"/>
    <w:rsid w:val="00177795"/>
    <w:rsid w:val="00212136"/>
    <w:rsid w:val="002E1AF8"/>
    <w:rsid w:val="005A4DD5"/>
    <w:rsid w:val="00856DA5"/>
    <w:rsid w:val="00E51769"/>
    <w:rsid w:val="00F2175E"/>
    <w:rsid w:val="00F9442D"/>
    <w:rsid w:val="03A9727E"/>
    <w:rsid w:val="1D354C5A"/>
    <w:rsid w:val="1FC93A32"/>
    <w:rsid w:val="327041F0"/>
    <w:rsid w:val="49C37E82"/>
    <w:rsid w:val="5F7D3B30"/>
    <w:rsid w:val="6C1D7BEB"/>
    <w:rsid w:val="6FF30370"/>
    <w:rsid w:val="77DB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3">
    <w:name w:val="heading 2"/>
    <w:basedOn w:val="1"/>
    <w:link w:val="9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8">
    <w:name w:val="Heading 1 Char"/>
    <w:basedOn w:val="4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customStyle="1" w:styleId="9">
    <w:name w:val="Heading 2 Char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0">
    <w:name w:val="Balloon Text Char"/>
    <w:basedOn w:val="4"/>
    <w:link w:val="6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991</Words>
  <Characters>6173</Characters>
  <Lines>32</Lines>
  <Paragraphs>9</Paragraphs>
  <TotalTime>9</TotalTime>
  <ScaleCrop>false</ScaleCrop>
  <LinksUpToDate>false</LinksUpToDate>
  <CharactersWithSpaces>7170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2026-06-02T17:02:00Z</dcterms:created>
  <dc:creator>user</dc:creator>
  <cp:lastModifiedBy>Munišić Mirjana</cp:lastModifiedBy>
  <dcterms:modified xsi:type="dcterms:W3CDTF">2026-06-10T08:40:38Z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1033-12.1.0.26880</vt:lpwstr>
  </property>
  <property fmtid="{D5CDD505-2E9C-101B-9397-08002B2CF9AE}" pid="3" name="ICV">
    <vt:lpwstr>CBE78F97E4FA47FF9162EFE74E60517A_13</vt:lpwstr>
  </property>
  <property fmtid="{D5CDD505-2E9C-101B-9397-08002B2CF9AE}" pid="4" name="KSOTemplateDocerSaveRecord">
    <vt:lpwstr>eyJoZGlkIjoiMTZjNDc2ZGVkMWE4MGVhNWYzZTQxMjcyOGMzNThmZDQiLCJ1c2VySWQiOiI4MTI2NzgxODM4MTMyIn0=</vt:lpwstr>
  </property>
</Properties>
</file>